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ЧИТАТЕЛЬ ПРИШЕЛ В БИБЛИОТЕКУ —</w:t>
        <w:br/>
        <w:t>ЧТО ДЕЛАТЬ?</w:t>
      </w:r>
    </w:p>
    <w:p>
      <w:pPr>
        <w:pStyle w:val="Callout"/>
      </w:pPr>
      <w:r>
        <w:t>Один реальный факт → первичный документ → одна запись в итог.</w:t>
      </w:r>
    </w:p>
    <w:p>
      <w:pPr>
        <w:pStyle w:val="Small"/>
      </w:pPr>
      <w:r>
        <w:drawing>
          <wp:inline xmlns:a="http://schemas.openxmlformats.org/drawingml/2006/main" xmlns:pic="http://schemas.openxmlformats.org/drawingml/2006/picture">
            <wp:extent cx="130988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0988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ПОЛЬЗ.   </w:t>
      </w:r>
      <w:r>
        <w:drawing>
          <wp:inline xmlns:a="http://schemas.openxmlformats.org/drawingml/2006/main" xmlns:pic="http://schemas.openxmlformats.org/drawingml/2006/picture">
            <wp:extent cx="83820" cy="152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ПОС.   </w:t>
      </w:r>
      <w:r>
        <w:drawing>
          <wp:inline xmlns:a="http://schemas.openxmlformats.org/drawingml/2006/main" xmlns:pic="http://schemas.openxmlformats.org/drawingml/2006/picture">
            <wp:extent cx="156275" cy="152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6275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К   </w:t>
      </w:r>
      <w:r>
        <w:drawing>
          <wp:inline xmlns:a="http://schemas.openxmlformats.org/drawingml/2006/main" xmlns:pic="http://schemas.openxmlformats.org/drawingml/2006/picture">
            <wp:extent cx="88165" cy="152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165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С   </w:t>
      </w:r>
      <w:r>
        <w:drawing>
          <wp:inline xmlns:a="http://schemas.openxmlformats.org/drawingml/2006/main" xmlns:pic="http://schemas.openxmlformats.org/drawingml/2006/picture">
            <wp:extent cx="159957" cy="152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957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КС   </w:t>
      </w:r>
      <w:r>
        <w:drawing>
          <wp:inline xmlns:a="http://schemas.openxmlformats.org/drawingml/2006/main" xmlns:pic="http://schemas.openxmlformats.org/drawingml/2006/picture">
            <wp:extent cx="177312" cy="152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7312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М   </w:t>
      </w:r>
      <w:r>
        <w:drawing>
          <wp:inline xmlns:a="http://schemas.openxmlformats.org/drawingml/2006/main" xmlns:pic="http://schemas.openxmlformats.org/drawingml/2006/picture">
            <wp:extent cx="186267" cy="1524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6267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УЧ   </w:t>
      </w:r>
      <w:r>
        <w:drawing>
          <wp:inline xmlns:a="http://schemas.openxmlformats.org/drawingml/2006/main" xmlns:pic="http://schemas.openxmlformats.org/drawingml/2006/picture">
            <wp:extent cx="152400" cy="1524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ВЫСТ.   </w:t>
      </w:r>
      <w:r>
        <w:drawing>
          <wp:inline xmlns:a="http://schemas.openxmlformats.org/drawingml/2006/main" xmlns:pic="http://schemas.openxmlformats.org/drawingml/2006/picture">
            <wp:extent cx="154940" cy="1524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R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Р   </w:t>
      </w:r>
      <w:r>
        <w:drawing>
          <wp:inline xmlns:a="http://schemas.openxmlformats.org/drawingml/2006/main" xmlns:pic="http://schemas.openxmlformats.org/drawingml/2006/picture">
            <wp:extent cx="201038" cy="1524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O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1038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ВН   </w:t>
      </w:r>
    </w:p>
    <w:p>
      <w:pPr>
        <w:pStyle w:val="Small"/>
      </w:pPr>
      <w:r>
        <w:t>ПОЛЬЗ. — зарегистрированный; ПОС. — посещение; К — выдача; С — справка; КС — консультация; М — мероприятие; УЧ — участник; ВЫСТ. — выставка; Р — удаленно; ВН — вне стационара.</w:t>
      </w:r>
    </w:p>
    <w:p>
      <w:pPr>
        <w:pStyle w:val="CheatStep"/>
      </w:pPr>
      <w:r>
        <w:t>1. Выясните цель</w:t>
      </w:r>
    </w:p>
    <w:p>
      <w:r>
        <w:t>Только туалет, гардероб или сопровождение без услуги → помочь, библиотечные показатели не добавлять. Есть услуга → перейти к регистрации и виду обслуживания.</w:t>
      </w:r>
    </w:p>
    <w:p>
      <w:pPr>
        <w:pStyle w:val="CheatStep"/>
      </w:pPr>
      <w:r>
        <w:t>2. Проверьте регистрацию</w:t>
      </w:r>
    </w:p>
    <w:p>
      <w:r>
        <w:t>Запись есть → прежний ID; при первом обслуживании года — перерегистрация. Записи нет: книга домой → оформить; открытые мероприятие, экскурсия, выставка, разовая справка → регистрация не обязательна. Чтение и компьютер — по утвержденному разовому режиму.</w:t>
      </w:r>
    </w:p>
    <w:p>
      <w:pPr>
        <w:pStyle w:val="CheatStep"/>
      </w:pPr>
      <w:r>
        <w:t>3. Выполните и зафиксируйте действие</w:t>
      </w:r>
    </w:p>
    <w:p>
      <w:pPr>
        <w:pStyle w:val="CheatRow"/>
      </w:pPr>
      <w:r>
        <w:drawing>
          <wp:inline xmlns:a="http://schemas.openxmlformats.org/drawingml/2006/main" xmlns:pic="http://schemas.openxmlformats.org/drawingml/2006/picture">
            <wp:extent cx="130229" cy="12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0229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Книга домой / в зале:</w:t>
      </w:r>
      <w:r>
        <w:t xml:space="preserve"> Проверить доступ и экземпляр → формуляр/АИС; К +число документов; ПОС. +1.</w:t>
      </w:r>
    </w:p>
    <w:p>
      <w:pPr>
        <w:pStyle w:val="CheatRow"/>
      </w:pPr>
      <w:r>
        <w:drawing>
          <wp:inline xmlns:a="http://schemas.openxmlformats.org/drawingml/2006/main" xmlns:pic="http://schemas.openxmlformats.org/drawingml/2006/picture">
            <wp:extent cx="127000" cy="12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Книга с выставки:</w:t>
      </w:r>
      <w:r>
        <w:t xml:space="preserve"> Реально использована → лист просмотра/формуляр; К +число. Только обложки → К 0. Выставочная выдача уже внутри общей.</w:t>
      </w:r>
    </w:p>
    <w:p>
      <w:pPr>
        <w:pStyle w:val="CheatRow"/>
      </w:pPr>
      <w:r>
        <w:drawing>
          <wp:inline xmlns:a="http://schemas.openxmlformats.org/drawingml/2006/main" xmlns:pic="http://schemas.openxmlformats.org/drawingml/2006/picture">
            <wp:extent cx="69850" cy="12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Возврат:</w:t>
      </w:r>
      <w:r>
        <w:t xml:space="preserve"> Сверить экземпляр → закрыть выдачу; ПОС. +1, К 0. Чужой возврат принять по исходной выдаче.</w:t>
      </w:r>
    </w:p>
    <w:p>
      <w:pPr>
        <w:pStyle w:val="CheatRow"/>
      </w:pPr>
      <w:r>
        <w:drawing>
          <wp:inline xmlns:a="http://schemas.openxmlformats.org/drawingml/2006/main" xmlns:pic="http://schemas.openxmlformats.org/drawingml/2006/picture">
            <wp:extent cx="130229" cy="12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0229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Продление:</w:t>
      </w:r>
      <w:r>
        <w:t xml:space="preserve"> По просьбе читателя → новый срок и запись; К +число. По телефону: Р +1, очное ПОС. 0. Автопродление без запроса — К 0.</w:t>
      </w:r>
    </w:p>
    <w:p>
      <w:pPr>
        <w:pStyle w:val="CheatRow"/>
      </w:pPr>
      <w:r>
        <w:drawing>
          <wp:inline xmlns:a="http://schemas.openxmlformats.org/drawingml/2006/main" xmlns:pic="http://schemas.openxmlformats.org/drawingml/2006/picture">
            <wp:extent cx="73471" cy="127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471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Вопрос / обучение:</w:t>
      </w:r>
      <w:r>
        <w:t xml:space="preserve"> Ответ с источником → журнал, С +1. Обучение → журнал, КС +1. Бытовая реплика — 0; простая печать не справка.</w:t>
      </w:r>
    </w:p>
    <w:p>
      <w:pPr>
        <w:pStyle w:val="CheatRow"/>
      </w:pPr>
      <w:r>
        <w:drawing>
          <wp:inline xmlns:a="http://schemas.openxmlformats.org/drawingml/2006/main" xmlns:pic="http://schemas.openxmlformats.org/drawingml/2006/picture">
            <wp:extent cx="133298" cy="127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298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Компьютер / Wi-Fi:</w:t>
      </w:r>
      <w:r>
        <w:t xml:space="preserve"> Реальная библиотечная услуга → сеанс и ПОС. +1; К 0 автоматически. Помощь учитывать лишь при выполненной консультации.</w:t>
      </w:r>
    </w:p>
    <w:p>
      <w:pPr>
        <w:pStyle w:val="CheatRow"/>
      </w:pPr>
      <w:r>
        <w:drawing>
          <wp:inline xmlns:a="http://schemas.openxmlformats.org/drawingml/2006/main" xmlns:pic="http://schemas.openxmlformats.org/drawingml/2006/picture">
            <wp:extent cx="147760" cy="127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760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Мероприятие / экскурсия:</w:t>
      </w:r>
      <w:r>
        <w:t xml:space="preserve"> Паспорт и фактическая аудитория → УЧ, посещения по учету; М у ответственного за событие. Участник не становится ПОЛЬЗ. автоматически.</w:t>
      </w:r>
    </w:p>
    <w:p>
      <w:pPr>
        <w:pStyle w:val="CheatRow"/>
      </w:pPr>
      <w:r>
        <w:drawing>
          <wp:inline xmlns:a="http://schemas.openxmlformats.org/drawingml/2006/main" xmlns:pic="http://schemas.openxmlformats.org/drawingml/2006/picture">
            <wp:extent cx="167532" cy="127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O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532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Выезд / удаленно:</w:t>
      </w:r>
      <w:r>
        <w:t xml:space="preserve"> Отметить ВН или Р в первичке. Передача по ВСО не выдача. Просмотры постов не посещения сайта и не зарегистрированные пользователи.</w:t>
      </w:r>
    </w:p>
    <w:p>
      <w:pPr>
        <w:pStyle w:val="CheatStep"/>
      </w:pPr>
      <w:r>
        <w:t>4. Перед уходом проверьте итог</w:t>
      </w:r>
    </w:p>
    <w:p>
      <w:pPr>
        <w:pStyle w:val="CheatRow"/>
      </w:pPr>
      <w:r>
        <w:t>Один непрерывный приход — один ПОС. без дублей между отделами и услугами. Ушел и снова пришел — новый приход. Проверьте выдачи, сроки, возврат, ответ, аудиторию; внесите ручную первичку один раз.</w:t>
      </w:r>
    </w:p>
    <w:p>
      <w:pPr>
        <w:pStyle w:val="CheatStep"/>
      </w:pPr>
      <w:r>
        <w:t>ОБЯЗАТЕЛЬНО ПОМНИТЬ</w:t>
      </w:r>
    </w:p>
    <w:p>
      <w:pPr>
        <w:pStyle w:val="CheatRow"/>
      </w:pPr>
      <w:r>
        <w:t>До 14 лет запись через законного представителя. В 14 лет ID сохраняется; совершеннолетие — с 18. В 6-НК: до 14 включительно / 15–17 / 18–35. Согласие на данные — отдельно. Деньги — только уполномоченному. Ограниченное издание → точное основание и ответственный; не списывать автоматически.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794" w:bottom="794" w:left="794" w:header="346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КБС · 07.09.2026 · Подробные основания — в полной памятке. Локальные формы сверить с утвержденными.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40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1"/>
      </w:pPr>
      <w:rPr>
        <w:rFonts w:ascii="DejaVu Sans" w:hAnsi="DejaVu Sans"/>
      </w:rPr>
    </w:lvl>
  </w:abstractNum>
  <w:num w:numId="40">
    <w:abstractNumId w:val="40"/>
  </w:num>
  <w:abstractNum w:abstractNumId="4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  <w:rPr>
        <w:rFonts w:ascii="DejaVu Sans" w:hAnsi="DejaVu Sans"/>
      </w:rPr>
    </w:lvl>
  </w:abstractNum>
  <w:num w:numId="4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defaultTabStop w:val="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60" w:line="259" w:lineRule="auto"/>
    </w:pPr>
    <w:rPr>
      <w:rFonts w:ascii="DejaVu Sans" w:hAnsi="DejaVu Sans"/>
      <w:b w:val="0"/>
      <w:color w:val="202B36"/>
      <w:sz w:val="18"/>
      <w:rFonts w:ascii="DejaVu Sans" w:hAnsi="DejaVu Sans" w:eastAsia="DejaVu Sans" w:cs="DejaVu San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DejaVu Sans" w:hAnsi="DejaVu Sans"/>
      <w:b w:val="0"/>
      <w:color w:val="667583"/>
      <w:sz w:val="16"/>
      <w:rFonts w:ascii="DejaVu Sans" w:hAnsi="DejaVu Sans" w:eastAsia="DejaVu Sans" w:cs="DejaVu San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DejaVu Sans" w:hAnsi="DejaVu Sans"/>
      <w:b w:val="0"/>
      <w:color w:val="667583"/>
      <w:sz w:val="16"/>
      <w:rFonts w:ascii="DejaVu Sans" w:hAnsi="DejaVu Sans" w:eastAsia="DejaVu Sans" w:cs="DejaVu San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00" w:line="300" w:lineRule="auto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E74B5"/>
      <w:sz w:val="32"/>
      <w:szCs w:val="28"/>
      <w:rFonts w:ascii="DejaVu Sans" w:hAnsi="DejaVu Sans" w:eastAsia="DejaVu Sans" w:cs="DejaVu San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40" w:line="300" w:lineRule="auto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E74B5"/>
      <w:sz w:val="26"/>
      <w:szCs w:val="26"/>
      <w:rFonts w:ascii="DejaVu Sans" w:hAnsi="DejaVu Sans" w:eastAsia="DejaVu Sans" w:cs="DejaVu San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00" w:line="300" w:lineRule="auto"/>
      <w:outlineLvl w:val="2"/>
    </w:pPr>
    <w:rPr>
      <w:rFonts w:asciiTheme="majorHAnsi" w:eastAsiaTheme="majorEastAsia" w:hAnsiTheme="majorHAnsi" w:cstheme="majorBidi" w:ascii="DejaVu Sans" w:hAnsi="DejaVu Sans"/>
      <w:b/>
      <w:bCs/>
      <w:color w:val="1F4D78"/>
      <w:sz w:val="24"/>
      <w:rFonts w:ascii="DejaVu Sans" w:hAnsi="DejaVu Sans" w:eastAsia="DejaVu Sans" w:cs="DejaVu San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200" w:line="264" w:lineRule="auto" w:before="0"/>
      <w:contextualSpacing/>
    </w:pPr>
    <w:rPr>
      <w:rFonts w:asciiTheme="majorHAnsi" w:eastAsiaTheme="majorEastAsia" w:hAnsiTheme="majorHAnsi" w:cstheme="majorBidi" w:ascii="DejaVu Sans" w:hAnsi="DejaVu Sans"/>
      <w:b/>
      <w:color w:val="1F4D78"/>
      <w:spacing w:val="5"/>
      <w:kern w:val="28"/>
      <w:sz w:val="34"/>
      <w:szCs w:val="52"/>
      <w:rFonts w:ascii="DejaVu Sans" w:hAnsi="DejaVu Sans" w:eastAsia="DejaVu Sans" w:cs="DejaVu San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00" w:line="283" w:lineRule="auto"/>
    </w:pPr>
    <w:rPr>
      <w:rFonts w:asciiTheme="majorHAnsi" w:eastAsiaTheme="majorEastAsia" w:hAnsiTheme="majorHAnsi" w:cstheme="majorBidi" w:ascii="DejaVu Sans" w:hAnsi="DejaVu Sans"/>
      <w:b w:val="0"/>
      <w:i/>
      <w:iCs/>
      <w:color w:val="566371"/>
      <w:spacing w:val="15"/>
      <w:sz w:val="20"/>
      <w:szCs w:val="24"/>
      <w:rFonts w:ascii="DejaVu Sans" w:hAnsi="DejaVu Sans" w:eastAsia="DejaVu Sans" w:cs="DejaVu San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widowControl/>
      <w:spacing w:before="0" w:after="40" w:line="269" w:lineRule="auto"/>
    </w:pPr>
    <w:rPr>
      <w:rFonts w:ascii="DejaVu Sans" w:hAnsi="DejaVu Sans"/>
      <w:b w:val="0"/>
      <w:color w:val="202B36"/>
      <w:sz w:val="18"/>
      <w:rFonts w:ascii="DejaVu Sans" w:hAnsi="DejaVu Sans" w:eastAsia="DejaVu Sans" w:cs="DejaVu Sans"/>
    </w:rPr>
  </w:style>
  <w:style w:type="paragraph" w:customStyle="1" w:styleId="ScenarioText">
    <w:name w:val="Scenario Text"/>
    <w:pPr>
      <w:widowControl/>
      <w:spacing w:before="0" w:after="40" w:line="264" w:lineRule="auto"/>
    </w:pPr>
    <w:rPr>
      <w:rFonts w:ascii="DejaVu Sans" w:hAnsi="DejaVu Sans"/>
      <w:b w:val="0"/>
      <w:color w:val="202B36"/>
      <w:sz w:val="16"/>
      <w:rFonts w:ascii="DejaVu Sans" w:hAnsi="DejaVu Sans" w:eastAsia="DejaVu Sans" w:cs="DejaVu Sans"/>
    </w:rPr>
  </w:style>
  <w:style w:type="paragraph" w:customStyle="1" w:styleId="TableHeader">
    <w:name w:val="Table Header"/>
    <w:pPr>
      <w:widowControl/>
      <w:spacing w:before="0" w:after="40" w:line="269" w:lineRule="auto"/>
    </w:pPr>
    <w:rPr>
      <w:rFonts w:ascii="DejaVu Sans" w:hAnsi="DejaVu Sans"/>
      <w:b/>
      <w:color w:val="1F4D78"/>
      <w:sz w:val="18"/>
      <w:rFonts w:ascii="DejaVu Sans" w:hAnsi="DejaVu Sans" w:eastAsia="DejaVu Sans" w:cs="DejaVu Sans"/>
    </w:rPr>
  </w:style>
  <w:style w:type="paragraph" w:customStyle="1" w:styleId="Small">
    <w:name w:val="Small"/>
    <w:pPr>
      <w:widowControl/>
      <w:spacing w:before="0" w:after="80" w:line="269" w:lineRule="auto"/>
    </w:pPr>
    <w:rPr>
      <w:rFonts w:ascii="DejaVu Sans" w:hAnsi="DejaVu Sans"/>
      <w:b w:val="0"/>
      <w:color w:val="566371"/>
      <w:sz w:val="17"/>
      <w:rFonts w:ascii="DejaVu Sans" w:hAnsi="DejaVu Sans" w:eastAsia="DejaVu Sans" w:cs="DejaVu Sans"/>
    </w:rPr>
  </w:style>
  <w:style w:type="paragraph" w:customStyle="1" w:styleId="Source">
    <w:name w:val="Source"/>
    <w:pPr>
      <w:widowControl/>
      <w:spacing w:before="0" w:after="100" w:line="276" w:lineRule="auto"/>
    </w:pPr>
    <w:rPr>
      <w:rFonts w:ascii="DejaVu Sans" w:hAnsi="DejaVu Sans"/>
      <w:b w:val="0"/>
      <w:color w:val="344454"/>
      <w:sz w:val="18"/>
      <w:rFonts w:ascii="DejaVu Sans" w:hAnsi="DejaVu Sans" w:eastAsia="DejaVu Sans" w:cs="DejaVu Sans"/>
    </w:rPr>
  </w:style>
  <w:style w:type="paragraph" w:customStyle="1" w:styleId="TableCitation">
    <w:name w:val="Table Citation"/>
    <w:pPr>
      <w:widowControl/>
      <w:spacing w:before="80" w:after="80" w:line="269" w:lineRule="auto"/>
    </w:pPr>
    <w:rPr>
      <w:rFonts w:ascii="DejaVu Sans" w:hAnsi="DejaVu Sans"/>
      <w:b w:val="0"/>
      <w:color w:val="566371"/>
      <w:sz w:val="17"/>
      <w:rFonts w:ascii="DejaVu Sans" w:hAnsi="DejaVu Sans" w:eastAsia="DejaVu Sans" w:cs="DejaVu Sans"/>
    </w:rPr>
  </w:style>
  <w:style w:type="paragraph" w:customStyle="1" w:styleId="GuideBullet">
    <w:name w:val="Guide Bullet"/>
    <w:pPr>
      <w:widowControl/>
      <w:spacing w:before="0" w:after="60" w:line="259" w:lineRule="auto"/>
    </w:pPr>
    <w:rPr>
      <w:rFonts w:ascii="DejaVu Sans" w:hAnsi="DejaVu Sans"/>
      <w:b w:val="0"/>
      <w:color w:val="202B36"/>
      <w:sz w:val="18"/>
      <w:rFonts w:ascii="DejaVu Sans" w:hAnsi="DejaVu Sans" w:eastAsia="DejaVu Sans" w:cs="DejaVu Sans"/>
    </w:rPr>
  </w:style>
  <w:style w:type="paragraph" w:customStyle="1" w:styleId="GuideNumber">
    <w:name w:val="Guide Number"/>
    <w:pPr>
      <w:widowControl/>
      <w:spacing w:before="0" w:after="60" w:line="259" w:lineRule="auto"/>
    </w:pPr>
    <w:rPr>
      <w:rFonts w:ascii="DejaVu Sans" w:hAnsi="DejaVu Sans"/>
      <w:b w:val="0"/>
      <w:color w:val="202B36"/>
      <w:sz w:val="18"/>
      <w:rFonts w:ascii="DejaVu Sans" w:hAnsi="DejaVu Sans" w:eastAsia="DejaVu Sans" w:cs="DejaVu Sans"/>
    </w:rPr>
  </w:style>
  <w:style w:type="paragraph" w:customStyle="1" w:styleId="Callout">
    <w:name w:val="Callout"/>
    <w:pPr>
      <w:widowControl/>
      <w:spacing w:before="100" w:after="160" w:line="278" w:lineRule="auto"/>
    </w:pPr>
    <w:rPr>
      <w:rFonts w:ascii="DejaVu Sans" w:hAnsi="DejaVu Sans"/>
      <w:b w:val="0"/>
      <w:color w:val="1F4D78"/>
      <w:sz w:val="18"/>
      <w:rFonts w:ascii="DejaVu Sans" w:hAnsi="DejaVu Sans" w:eastAsia="DejaVu Sans" w:cs="DejaVu Sans"/>
    </w:rPr>
  </w:style>
  <w:style w:type="paragraph" w:customStyle="1" w:styleId="Nav">
    <w:name w:val="Nav"/>
    <w:pPr>
      <w:widowControl/>
      <w:spacing w:before="0" w:after="80" w:line="264" w:lineRule="auto"/>
    </w:pPr>
    <w:rPr>
      <w:rFonts w:ascii="DejaVu Sans" w:hAnsi="DejaVu Sans"/>
      <w:b w:val="0"/>
      <w:color w:val="1F4D78"/>
      <w:sz w:val="18"/>
      <w:rFonts w:ascii="DejaVu Sans" w:hAnsi="DejaVu Sans" w:eastAsia="DejaVu Sans" w:cs="DejaVu Sans"/>
    </w:rPr>
  </w:style>
  <w:style w:type="paragraph" w:customStyle="1" w:styleId="CheatStep">
    <w:name w:val="Cheat Step"/>
    <w:pPr>
      <w:widowControl/>
      <w:spacing w:before="100" w:after="80" w:line="259" w:lineRule="auto"/>
    </w:pPr>
    <w:rPr>
      <w:rFonts w:ascii="DejaVu Sans" w:hAnsi="DejaVu Sans"/>
      <w:b/>
      <w:color w:val="1F4D78"/>
      <w:sz w:val="22"/>
      <w:rFonts w:ascii="DejaVu Sans" w:hAnsi="DejaVu Sans" w:eastAsia="DejaVu Sans" w:cs="DejaVu Sans"/>
    </w:rPr>
  </w:style>
  <w:style w:type="paragraph" w:customStyle="1" w:styleId="CheatRow">
    <w:name w:val="Cheat Row"/>
    <w:pPr>
      <w:widowControl/>
      <w:spacing w:before="0" w:after="60" w:line="259" w:lineRule="auto"/>
    </w:pPr>
    <w:rPr>
      <w:rFonts w:ascii="DejaVu Sans" w:hAnsi="DejaVu Sans"/>
      <w:b w:val="0"/>
      <w:color w:val="202B36"/>
      <w:sz w:val="18"/>
      <w:rFonts w:ascii="DejaVu Sans" w:hAnsi="DejaVu Sans" w:eastAsia="DejaVu Sans" w:cs="DejaVu San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Читатель пришел в библиотеку — что делать?</dc:title>
  <dc:subject>Рабочая методическая редакция на 07.09.2026</dc:subject>
  <dc:creator/>
  <cp:keywords>КБС, библиотечная статистика, 6-НК, обслуживание, фонд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